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473C">
      <w:pPr>
        <w:spacing w:before="0" w:after="420"/>
      </w:pPr>
    </w:p>
    <w:p w14:paraId="7187C489">
      <w:pPr>
        <w:spacing w:before="0" w:after="36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工程师知识体系 · 扩展版</w:t>
      </w:r>
    </w:p>
    <w:p w14:paraId="0AAA1728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8"/>
          <w:szCs w:val="68"/>
        </w:rPr>
        <w:t>阶段四扩展</w:t>
      </w:r>
    </w:p>
    <w:p w14:paraId="78B70049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4"/>
          <w:szCs w:val="34"/>
        </w:rPr>
        <w:t>AI 产品与系统设计——深度篇</w:t>
      </w:r>
    </w:p>
    <w:p w14:paraId="1DC7472E">
      <w:pPr>
        <w:spacing w:before="0" w:after="8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AI 团队管理 · 产品商业化 · 混合部署架构 · 可解释性（XAI）</w:t>
      </w:r>
    </w:p>
    <w:p w14:paraId="5F2BA6DD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34686441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配合阶段四基础手册使用 · 共 4 章</w:t>
      </w:r>
    </w:p>
    <w:p w14:paraId="0C7EF259">
      <w:pPr>
        <w:rPr>
          <w:rFonts w:ascii="Arial" w:hAnsi="Arial" w:eastAsia="Arial" w:cs="Arial"/>
          <w:b/>
          <w:bCs/>
          <w:color w:val="1A5276"/>
          <w:sz w:val="40"/>
          <w:szCs w:val="40"/>
        </w:rPr>
      </w:pPr>
    </w:p>
    <w:p w14:paraId="6234EF9C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第一章：AI 团队管理与工程文化</w:t>
      </w:r>
    </w:p>
    <w:p w14:paraId="0BBA655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随着 AI 工程师角色越来越重要，如何建设和管理 AI 团队、构建 AI 工程文化，成为技术领导者必须面对的问题。</w:t>
      </w:r>
    </w:p>
    <w:p w14:paraId="6FD0A972">
      <w:pPr>
        <w:spacing w:before="0" w:after="65"/>
      </w:pPr>
    </w:p>
    <w:p w14:paraId="77B0FBC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AI 团队的角色构成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200"/>
        <w:gridCol w:w="3600"/>
      </w:tblGrid>
      <w:tr w14:paraId="01A296A5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D7FE7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角色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9FA2F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核心职责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CED53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和传统工程师的区别</w:t>
            </w:r>
          </w:p>
        </w:tc>
      </w:tr>
      <w:tr w14:paraId="20FEB09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28AE2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产品工程师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1452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实现 AI 功能，调用 API，Prompt 工程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CD2D0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需要懂 AI 的能力边界和失败模式</w:t>
            </w:r>
          </w:p>
        </w:tc>
      </w:tr>
      <w:tr w14:paraId="3B94BF9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55914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基础设施工程师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FCA2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LLMOps，向量数据库，评估平台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4AF4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需要懂 AI 特有的可观测性挑战</w:t>
            </w:r>
          </w:p>
        </w:tc>
      </w:tr>
      <w:tr w14:paraId="6D50B1E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1F8B0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评估工程师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5F61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构建评估体系，监控 AI 质量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4DEA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新角色，传统测试工程师转型</w:t>
            </w:r>
          </w:p>
        </w:tc>
      </w:tr>
      <w:tr w14:paraId="3D7EBEB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4CF7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安全工程师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594B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Prompt Injection 防御，红队测试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4A356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需要懂 AI 特有的攻击面</w:t>
            </w:r>
          </w:p>
        </w:tc>
      </w:tr>
    </w:tbl>
    <w:p w14:paraId="082FFBAB">
      <w:pPr>
        <w:spacing w:before="0" w:after="65"/>
      </w:pPr>
    </w:p>
    <w:p w14:paraId="19D6EA3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推动 AI 文化的四个阶段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70DEFED9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5F184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阶段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223A1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目标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B1190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关键行动</w:t>
            </w:r>
          </w:p>
        </w:tc>
      </w:tr>
      <w:tr w14:paraId="3BD158D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7734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播种期（1-2周）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65317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让团队看到价值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D359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选 2 个高价值场景演示，消除「AI 会抢工作」的恐惧</w:t>
            </w:r>
          </w:p>
        </w:tc>
      </w:tr>
      <w:tr w14:paraId="77864AF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D326A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试点期（3-6周）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B3E2F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核心成员开始使用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DF01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配置团队 CLAUDE.md，建立共享 Prompt 库</w:t>
            </w:r>
          </w:p>
        </w:tc>
      </w:tr>
      <w:tr w14:paraId="5A90108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B96D6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扩散期（7-12周）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BA18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50%+ 日常使用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4235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定期分享最佳实践，建立 AI 使用规范</w:t>
            </w:r>
          </w:p>
        </w:tc>
      </w:tr>
      <w:tr w14:paraId="07EEEEB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2B12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成熟期（3个月后）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2EE3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成为标准工作方式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702B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纳入 Onboarding，制定质量标准</w:t>
            </w:r>
          </w:p>
        </w:tc>
      </w:tr>
    </w:tbl>
    <w:p w14:paraId="5B162D74">
      <w:pPr>
        <w:spacing w:before="0" w:after="65"/>
      </w:pPr>
    </w:p>
    <w:p w14:paraId="08786BAE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1.3 AI 工程的质量标准</w:t>
      </w:r>
    </w:p>
    <w:p w14:paraId="0359F29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代码的质量标准和传统代码不完全相同，需要额外关注：</w:t>
      </w:r>
    </w:p>
    <w:p w14:paraId="311A9915">
      <w:pPr>
        <w:pStyle w:val="16"/>
        <w:numPr>
          <w:ilvl w:val="0"/>
          <w:numId w:val="1"/>
        </w:numPr>
        <w:spacing w:before="52" w:after="52"/>
      </w:pPr>
    </w:p>
    <w:p w14:paraId="765017A5">
      <w:pPr>
        <w:pStyle w:val="16"/>
        <w:numPr>
          <w:ilvl w:val="0"/>
          <w:numId w:val="1"/>
        </w:numPr>
        <w:spacing w:before="52" w:after="52"/>
      </w:pPr>
    </w:p>
    <w:p w14:paraId="7310CD53">
      <w:pPr>
        <w:pStyle w:val="16"/>
        <w:numPr>
          <w:ilvl w:val="0"/>
          <w:numId w:val="1"/>
        </w:numPr>
        <w:spacing w:before="52" w:after="52"/>
      </w:pPr>
    </w:p>
    <w:p w14:paraId="084324B2">
      <w:pPr>
        <w:pStyle w:val="16"/>
        <w:numPr>
          <w:ilvl w:val="0"/>
          <w:numId w:val="1"/>
        </w:numPr>
        <w:spacing w:before="52" w:after="52"/>
      </w:pPr>
    </w:p>
    <w:p w14:paraId="45746A54">
      <w:pPr>
        <w:spacing w:before="0" w:after="65"/>
      </w:pPr>
    </w:p>
    <w:p w14:paraId="5FC6B477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1.4 处理团队抵触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800"/>
        <w:gridCol w:w="4400"/>
      </w:tblGrid>
      <w:tr w14:paraId="5D0D3A38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4DB7C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抵触类型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78ED4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常见说法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A10F2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应对策略</w:t>
            </w:r>
          </w:p>
        </w:tc>
      </w:tr>
      <w:tr w14:paraId="365BFBE5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C79D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替代恐惧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8356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「AI 会抢我的工作」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C8D8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展示 AI 如何让他们做更有价值的工作，而不是替代</w:t>
            </w:r>
          </w:p>
        </w:tc>
      </w:tr>
      <w:tr w14:paraId="5D1A62DB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19F1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质量担忧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2B13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「AI 生成的代码不可靠」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1A8FA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建立严格的 Review 流程，让他看到质量数据</w:t>
            </w:r>
          </w:p>
        </w:tc>
      </w:tr>
      <w:tr w14:paraId="09EFF950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96093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学习成本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9F813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「学这个太花时间」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4F3A97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从他最痛苦的日常任务入手，让他立刻感受价值</w:t>
            </w:r>
          </w:p>
        </w:tc>
      </w:tr>
      <w:tr w14:paraId="74B150B6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AB78D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隐私顾虑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9FD40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「代码发给第三方不放心」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A701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解释数据政策，提供本地模型作为敏感数据方案</w:t>
            </w:r>
          </w:p>
        </w:tc>
      </w:tr>
    </w:tbl>
    <w:p w14:paraId="20757436">
      <w:pPr>
        <w:spacing w:before="0" w:after="65"/>
      </w:pPr>
    </w:p>
    <w:p w14:paraId="55580237">
      <w:pPr>
        <w:rPr>
          <w:rFonts w:ascii="Arial" w:hAnsi="Arial" w:eastAsia="Arial" w:cs="Arial"/>
          <w:b/>
          <w:bCs/>
          <w:color w:val="1A5276"/>
          <w:sz w:val="40"/>
          <w:szCs w:val="40"/>
        </w:rPr>
      </w:pPr>
    </w:p>
    <w:p w14:paraId="0577B04F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第二章：AI 产品商业化——定价与增长</w:t>
      </w:r>
    </w:p>
    <w:p w14:paraId="3CC5EFA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产品的商业化模式和传统 SaaS 不同，因为 AI 的边际成本随使用量线性增长，不像传统软件边际成本趋近于零。</w:t>
      </w:r>
    </w:p>
    <w:p w14:paraId="51D31DE9">
      <w:pPr>
        <w:spacing w:before="0" w:after="65"/>
      </w:pPr>
    </w:p>
    <w:p w14:paraId="4474587D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AI 产品的定价模式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4000"/>
      </w:tblGrid>
      <w:tr w14:paraId="1C67C6DF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F4892D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定价模式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1DB60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适合场景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7D6D2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优缺点</w:t>
            </w:r>
          </w:p>
        </w:tc>
      </w:tr>
      <w:tr w14:paraId="61D483A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46B7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按用量计费（Pay-per-use）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E07AE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用量差异大，有明确的价值单位（如每次分析）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F7BB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灵活，用户容易理解价值，但收入不稳定</w:t>
            </w:r>
          </w:p>
        </w:tc>
      </w:tr>
      <w:tr w14:paraId="6C3718B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59DF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订阅 + 用量上限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2D93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大多数 SaaS 场景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9245A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可预期收入，但需要设计合理的配额</w:t>
            </w:r>
          </w:p>
        </w:tc>
      </w:tr>
      <w:tr w14:paraId="363D274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2BF763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订阅分级（免费/Pro/企业）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52AD30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需要病毒式传播的产品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B9DB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免费获客，但成本压力大</w:t>
            </w:r>
          </w:p>
        </w:tc>
      </w:tr>
      <w:tr w14:paraId="6CAFE4E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1CF37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基于结果计费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0E3BB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效果明确可测量的场景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C883FD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风险共担，客户接受度高，但结果难界定</w:t>
            </w:r>
          </w:p>
        </w:tc>
      </w:tr>
    </w:tbl>
    <w:p w14:paraId="48C17367">
      <w:pPr>
        <w:spacing w:before="0" w:after="65"/>
      </w:pPr>
    </w:p>
    <w:p w14:paraId="4875098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AI 成本与定价的关系</w:t>
      </w:r>
    </w:p>
    <w:p w14:paraId="28E0C39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产品定价的关键：你的收入必须覆盖 AI 成本 + 毛利。要清楚每个用户平均消耗多少 AI 成本：</w:t>
      </w:r>
    </w:p>
    <w:p w14:paraId="10B0FD52">
      <w:pPr>
        <w:spacing w:before="0" w:after="65"/>
      </w:pPr>
    </w:p>
    <w:p w14:paraId="3E819152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成本分析</w:t>
      </w:r>
    </w:p>
    <w:p w14:paraId="3063F29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单用户成本分析</w:t>
      </w:r>
    </w:p>
    <w:p w14:paraId="70813C8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analyzUserCost(userId: string, period: string) {</w:t>
      </w:r>
    </w:p>
    <w:p w14:paraId="134D458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calls = await db.getAICalls({ userId, period });</w:t>
      </w:r>
    </w:p>
    <w:p w14:paraId="02A1105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218EAA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totalCost = calls.reduce((sum, call) =&gt; {</w:t>
      </w:r>
    </w:p>
    <w:p w14:paraId="0FD5B0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inputCost = call.inputTokens * 3 / 1_000_000;   // $3/M tokens</w:t>
      </w:r>
    </w:p>
    <w:p w14:paraId="036586A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outputCost = call.outputTokens * 15 / 1_000_000; // $15/M tokens</w:t>
      </w:r>
    </w:p>
    <w:p w14:paraId="42F45F4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sum + inputCost + outputCost;</w:t>
      </w:r>
    </w:p>
    <w:p w14:paraId="64B4496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}, 0);</w:t>
      </w:r>
    </w:p>
    <w:p w14:paraId="5C19080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3CD529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</w:t>
      </w:r>
    </w:p>
    <w:p w14:paraId="7FB20F1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totalCost,</w:t>
      </w:r>
    </w:p>
    <w:p w14:paraId="0B0DBE0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avgPerCall: totalCost / calls.length,</w:t>
      </w:r>
    </w:p>
    <w:p w14:paraId="71D357F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breakEvenPrice: totalCost * 3,  // 至少需要 3x 毛利</w:t>
      </w:r>
    </w:p>
    <w:p w14:paraId="72B7CFC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};</w:t>
      </w:r>
    </w:p>
    <w:p w14:paraId="131C891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0A2E44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FD2D41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定价参考：</w:t>
      </w:r>
    </w:p>
    <w:p w14:paraId="301FF6C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如果用户平均月消耗 $2 的 AI 费用</w:t>
      </w:r>
    </w:p>
    <w:p w14:paraId="3E72FD7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定价应至少 $6/月（3x），才能覆盖 AI + 服务器 + 人力成本</w:t>
      </w:r>
    </w:p>
    <w:p w14:paraId="43E700A4">
      <w:pPr>
        <w:spacing w:before="0" w:after="32"/>
      </w:pPr>
    </w:p>
    <w:p w14:paraId="25057395">
      <w:pPr>
        <w:spacing w:before="0" w:after="65"/>
      </w:pPr>
    </w:p>
    <w:p w14:paraId="7DBA9FF7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2.3 AI 产品的增长策略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400"/>
        <w:gridCol w:w="4400"/>
      </w:tblGrid>
      <w:tr w14:paraId="1F2F5732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FC485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增长策略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6019A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原理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4E835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AI 产品的特殊考量</w:t>
            </w:r>
          </w:p>
        </w:tc>
      </w:tr>
      <w:tr w14:paraId="3C0EDBA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DD61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产品主导增长（PLG）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DCF8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让产品本身驱动用户获取和留存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9C1F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的「哇时刻」要快速出现，免费额度要足够体验价值</w:t>
            </w:r>
          </w:p>
        </w:tc>
      </w:tr>
      <w:tr w14:paraId="772767B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2530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内容营销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5AF3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通过内容建立权威，获取自然流量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29BC6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工程博客、案例研究比普通 SaaS 更有效（用户想知道「怎么做到的」）</w:t>
            </w:r>
          </w:p>
        </w:tc>
      </w:tr>
      <w:tr w14:paraId="06405BD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8A0A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API 优先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52DE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让开发者先用，再推动企业采购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11F86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API 比传统 API 更容易形成「黏性」（Prompt 和数据成本难迁移）</w:t>
            </w:r>
          </w:p>
        </w:tc>
      </w:tr>
      <w:tr w14:paraId="21B6353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8D28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网络效应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F8A1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用户越多，产品越好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1058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产品可以用用户数据改善模型，但需要注意隐私合规</w:t>
            </w:r>
          </w:p>
        </w:tc>
      </w:tr>
    </w:tbl>
    <w:p w14:paraId="315EBCD7">
      <w:pPr>
        <w:spacing w:before="0" w:after="65"/>
      </w:pPr>
    </w:p>
    <w:p w14:paraId="09BD931D">
      <w:pPr>
        <w:rPr>
          <w:rFonts w:ascii="Arial" w:hAnsi="Arial" w:eastAsia="Arial" w:cs="Arial"/>
          <w:b/>
          <w:bCs/>
          <w:color w:val="1A5276"/>
          <w:sz w:val="40"/>
          <w:szCs w:val="40"/>
        </w:rPr>
      </w:pPr>
    </w:p>
    <w:p w14:paraId="1FD306EA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第三章：混合部署架构——云端 + 本地的最优组合</w:t>
      </w:r>
    </w:p>
    <w:p w14:paraId="64B62DE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现实的生产系统往往不是「全云端」或「全本地」，而是根据不同任务的特性，智能地在云端和本地之间分配请求。</w:t>
      </w:r>
    </w:p>
    <w:p w14:paraId="0096C6D0">
      <w:pPr>
        <w:spacing w:before="0" w:after="65"/>
      </w:pPr>
    </w:p>
    <w:p w14:paraId="14527C6C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混合部署的决策矩阵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2600"/>
        <w:gridCol w:w="3600"/>
      </w:tblGrid>
      <w:tr w14:paraId="74E16D6B">
        <w:trPr>
          <w:tblHeader/>
        </w:trPr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FE531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任务特征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10BCF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推荐方案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C9327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理由</w:t>
            </w:r>
          </w:p>
        </w:tc>
      </w:tr>
      <w:tr w14:paraId="138D5501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F8FC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包含个人敏感数据（手机号/身份证）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DC8CA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本地模型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87CF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数据不出境，合规要求</w:t>
            </w:r>
          </w:p>
        </w:tc>
      </w:tr>
      <w:tr w14:paraId="73A706B5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E408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高频简单任务（意图分类/FAQ）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42EE8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本地小模型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4F2B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成本极低，延迟极低</w:t>
            </w:r>
          </w:p>
        </w:tc>
      </w:tr>
      <w:tr w14:paraId="641601C5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F836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需要最强推理能力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6908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云端大模型（Opus）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5866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本地模型能力不足</w:t>
            </w:r>
          </w:p>
        </w:tc>
      </w:tr>
      <w:tr w14:paraId="6BE42C56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972C6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离线/弱网场景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8322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本地模型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0959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网络不可依赖</w:t>
            </w:r>
          </w:p>
        </w:tc>
      </w:tr>
      <w:tr w14:paraId="27024732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10F36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内容生成/创意任务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044F7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云端中等模型（Sonnet）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2320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质量和成本平衡</w:t>
            </w:r>
          </w:p>
        </w:tc>
      </w:tr>
      <w:tr w14:paraId="09FF373F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56EC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企业内部知识问答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917E1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本地 RAG + 本地模型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4A7C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数据安全 + 领域适配</w:t>
            </w:r>
          </w:p>
        </w:tc>
      </w:tr>
    </w:tbl>
    <w:p w14:paraId="261981AD">
      <w:pPr>
        <w:spacing w:before="0" w:after="65"/>
      </w:pPr>
    </w:p>
    <w:p w14:paraId="7BAFC8B5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混合架构实现</w:t>
      </w:r>
    </w:p>
    <w:p w14:paraId="1AB8F163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混合路由实现</w:t>
      </w:r>
    </w:p>
    <w:p w14:paraId="58A8ABC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混合路由引擎</w:t>
      </w:r>
    </w:p>
    <w:p w14:paraId="01DE51A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HybridRouter {</w:t>
      </w:r>
    </w:p>
    <w:p w14:paraId="41160E3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private local = new OllamaClient({ model: "qwen2.5:7b" });</w:t>
      </w:r>
    </w:p>
    <w:p w14:paraId="1601604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private cloud = new AnthropicClient();</w:t>
      </w:r>
    </w:p>
    <w:p w14:paraId="77C2A42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57C4DA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route(req: AIRequest): Promise&lt;string&gt; {</w:t>
      </w:r>
    </w:p>
    <w:p w14:paraId="7D77DC7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decision = this.decide(req);</w:t>
      </w:r>
    </w:p>
    <w:p w14:paraId="40F4AC64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773158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(decision === "local") {</w:t>
      </w:r>
    </w:p>
    <w:p w14:paraId="330EED3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return this.local.chat(req);</w:t>
      </w:r>
    </w:p>
    <w:p w14:paraId="6080B1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6E26031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云端失败时自动降级到本地</w:t>
      </w:r>
    </w:p>
    <w:p w14:paraId="16DBBC5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try {</w:t>
      </w:r>
    </w:p>
    <w:p w14:paraId="69C48AF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return await this.cloud.chat(req);</w:t>
      </w:r>
    </w:p>
    <w:p w14:paraId="5251206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 catch (e) {</w:t>
      </w:r>
    </w:p>
    <w:p w14:paraId="093F64B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console.warn("云端失败，降级本地:", e.message);</w:t>
      </w:r>
    </w:p>
    <w:p w14:paraId="3ABE165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return this.local.chat(req);</w:t>
      </w:r>
    </w:p>
    <w:p w14:paraId="298B8D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4DA2128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6BB4E1E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90CF28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private decide(req: AIRequest): "local" | "cloud" {</w:t>
      </w:r>
    </w:p>
    <w:p w14:paraId="426D9A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(req.hasSensitiveData) return "local";</w:t>
      </w:r>
    </w:p>
    <w:p w14:paraId="31B65B7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(!this.networkAvailable()) return "local";</w:t>
      </w:r>
    </w:p>
    <w:p w14:paraId="47D4C77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(req.complexity === "trivial") return "local";  // 节省成本</w:t>
      </w:r>
    </w:p>
    <w:p w14:paraId="3CFE1FE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"cloud";</w:t>
      </w:r>
    </w:p>
    <w:p w14:paraId="64876E2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06F1D30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3EDBD428">
      <w:pPr>
        <w:spacing w:before="0" w:after="32"/>
      </w:pPr>
    </w:p>
    <w:p w14:paraId="606FDE5C">
      <w:pPr>
        <w:spacing w:before="0" w:after="65"/>
      </w:pPr>
    </w:p>
    <w:p w14:paraId="35DD647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3.3 混合部署的成本优化效果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3000"/>
        <w:gridCol w:w="3600"/>
      </w:tblGrid>
      <w:tr w14:paraId="7E04B391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6F443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流量分配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E906A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场景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9173B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成本对比</w:t>
            </w:r>
          </w:p>
        </w:tc>
      </w:tr>
      <w:tr w14:paraId="3C74DEB9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D7354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100% 云端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1BC33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纯云端方案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C1962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基准成本</w:t>
            </w:r>
          </w:p>
        </w:tc>
      </w:tr>
      <w:tr w14:paraId="67CB5772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A2D9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50% 本地 + 50% 云端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A7E5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简单任务本地，复杂任务云端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D751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节省约 40%</w:t>
            </w:r>
          </w:p>
        </w:tc>
      </w:tr>
      <w:tr w14:paraId="72C4F6F1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9E5E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80% 本地 + 20% 云端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F2DE6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大多数任务本地，仅最复杂用云端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29B50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节省约 65%</w:t>
            </w:r>
          </w:p>
        </w:tc>
      </w:tr>
      <w:tr w14:paraId="041A8922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4929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数据敏感任务全本地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8DDC1A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合规要求下的最优方案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4698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避免合规风险（无法用金钱衡量）</w:t>
            </w:r>
          </w:p>
        </w:tc>
      </w:tr>
    </w:tbl>
    <w:p w14:paraId="752C75D4">
      <w:pPr>
        <w:spacing w:before="0" w:after="65"/>
      </w:pPr>
    </w:p>
    <w:p w14:paraId="0EAF49F8">
      <w:pPr>
        <w:rPr>
          <w:rFonts w:ascii="Arial" w:hAnsi="Arial" w:eastAsia="Arial" w:cs="Arial"/>
          <w:b/>
          <w:bCs/>
          <w:color w:val="1A5276"/>
          <w:sz w:val="40"/>
          <w:szCs w:val="40"/>
        </w:rPr>
      </w:pPr>
    </w:p>
    <w:p w14:paraId="5F84BEB3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第四章：AI 可解释性（XAI）——让 AI 的决策透明</w:t>
      </w:r>
    </w:p>
    <w:p w14:paraId="6F2C96C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当 AI 系统做出影响用户的决策时（贷款审批、内容推荐、医疗建议），用户有权知道「为什么」。XAI（Explainable AI）是解决这个问题的工程领域。</w:t>
      </w:r>
    </w:p>
    <w:p w14:paraId="448947C6">
      <w:pPr>
        <w:spacing w:before="0" w:after="65"/>
      </w:pPr>
    </w:p>
    <w:p w14:paraId="1E15051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为什么需要 XAI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400"/>
        <w:gridCol w:w="4400"/>
      </w:tblGrid>
      <w:tr w14:paraId="5EC62488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1A87D6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场景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590F2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不解释的后果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884267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XAI 的价值</w:t>
            </w:r>
          </w:p>
        </w:tc>
      </w:tr>
      <w:tr w14:paraId="73CC0C9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81F6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贷款/信用审批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CDE92C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用户不接受，可能有歧视风险，监管要求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9411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满足监管，增加用户信任，发现模型偏见</w:t>
            </w:r>
          </w:p>
        </w:tc>
      </w:tr>
      <w:tr w14:paraId="35CD684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8197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医疗建议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B28F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医生无法验证，不敢采纳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3795B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帮助医生做知情决策，而不是盲目接受</w:t>
            </w:r>
          </w:p>
        </w:tc>
      </w:tr>
      <w:tr w14:paraId="38228C2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5D48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内容审核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A0EC0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被误判的用户无法申诉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6DFB1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提供申诉依据，减少误判</w:t>
            </w:r>
          </w:p>
        </w:tc>
      </w:tr>
      <w:tr w14:paraId="4BC68EA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BE0BF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推荐系统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A5C51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用户不信任黑盒推荐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114F2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提高点击率和满意度（「因为你喜欢 X」）</w:t>
            </w:r>
          </w:p>
        </w:tc>
      </w:tr>
    </w:tbl>
    <w:p w14:paraId="33A36609">
      <w:pPr>
        <w:spacing w:before="0" w:after="65"/>
      </w:pPr>
    </w:p>
    <w:p w14:paraId="0A87087E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LLM 的可解释性技术</w:t>
      </w:r>
    </w:p>
    <w:p w14:paraId="4C45F816">
      <w:pPr>
        <w:pStyle w:val="4"/>
        <w:spacing w:before="180" w:after="80"/>
      </w:pPr>
      <w:r>
        <w:rPr>
          <w:rFonts w:ascii="Arial" w:hAnsi="Arial" w:eastAsia="Arial" w:cs="Arial"/>
          <w:b/>
          <w:bCs/>
          <w:color w:val="2471A3"/>
          <w:sz w:val="22"/>
          <w:szCs w:val="22"/>
        </w:rPr>
        <w:t>方法一：思维链可见化</w:t>
      </w:r>
    </w:p>
    <w:p w14:paraId="2B1D75E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让 AI 在给出结论时展示推理过程——这是最简单且最实用的 XAI 方法：</w:t>
      </w:r>
    </w:p>
    <w:p w14:paraId="1270DD99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思维链可见化</w:t>
      </w:r>
    </w:p>
    <w:p w14:paraId="11880F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要求 AI 展示推理过程</w:t>
      </w:r>
    </w:p>
    <w:p w14:paraId="30183D7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EXPLAINABLE_PROMPT = `</w:t>
      </w:r>
    </w:p>
    <w:p w14:paraId="721A220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请按以下格式回答：</w:t>
      </w:r>
    </w:p>
    <w:p w14:paraId="04D2B71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F47E5B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【分析过程】</w:t>
      </w:r>
    </w:p>
    <w:p w14:paraId="39EE17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[逐步分析，说明你考虑了哪些因素，它们如何影响你的判断]</w:t>
      </w:r>
    </w:p>
    <w:p w14:paraId="27BB420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22EAE0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【结论】</w:t>
      </w:r>
    </w:p>
    <w:p w14:paraId="02E4F9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[最终结论]</w:t>
      </w:r>
    </w:p>
    <w:p w14:paraId="198A089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7BBE2D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【置信度】</w:t>
      </w:r>
    </w:p>
    <w:p w14:paraId="7178D41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[高/中/低，以及原因]</w:t>
      </w:r>
    </w:p>
    <w:p w14:paraId="4F2ACD5F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CFB87B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【可能的反面论据】</w:t>
      </w:r>
    </w:p>
    <w:p w14:paraId="3CC064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[这个结论可能在什么情况下不成立]</w:t>
      </w:r>
    </w:p>
    <w:p w14:paraId="780D13E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`;</w:t>
      </w:r>
    </w:p>
    <w:p w14:paraId="10EA9ACD">
      <w:pPr>
        <w:spacing w:before="0" w:after="32"/>
      </w:pPr>
    </w:p>
    <w:p w14:paraId="3FE4DF5E">
      <w:pPr>
        <w:spacing w:before="0" w:after="65"/>
      </w:pPr>
    </w:p>
    <w:p w14:paraId="4288CECE">
      <w:pPr>
        <w:pStyle w:val="4"/>
        <w:spacing w:before="180" w:after="80"/>
      </w:pPr>
      <w:r>
        <w:rPr>
          <w:rFonts w:ascii="Arial" w:hAnsi="Arial" w:eastAsia="Arial" w:cs="Arial"/>
          <w:b/>
          <w:bCs/>
          <w:color w:val="2471A3"/>
          <w:sz w:val="22"/>
          <w:szCs w:val="22"/>
        </w:rPr>
        <w:t>方法二：反事实解释</w:t>
      </w:r>
    </w:p>
    <w:p w14:paraId="26BCB7C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「如果 X 不同，结论会改变吗？」——帮用户理解哪些因素真正影响了决策：</w:t>
      </w:r>
    </w:p>
    <w:p w14:paraId="0185AE50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反事实解释</w:t>
      </w:r>
    </w:p>
    <w:p w14:paraId="20E93F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反事实解释：找到「改变决策的最小变化」</w:t>
      </w:r>
    </w:p>
    <w:p w14:paraId="37931E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counterfactualExplain(input: LoanApplication, decision: string) {</w:t>
      </w:r>
    </w:p>
    <w:p w14:paraId="162177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await callAI(`</w:t>
      </w:r>
    </w:p>
    <w:p w14:paraId="127127E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贷款申请被${decision}。</w:t>
      </w:r>
    </w:p>
    <w:p w14:paraId="67291CB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申请人信息：${JSON.stringify(input)}</w:t>
      </w:r>
    </w:p>
    <w:p w14:paraId="29047644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014604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请解释：</w:t>
      </w:r>
    </w:p>
    <w:p w14:paraId="5253127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1. 做出这个决定最重要的 3 个因素是什么？</w:t>
      </w:r>
    </w:p>
    <w:p w14:paraId="5ECADD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2. 如果要改变这个决定，申请人需要改变什么条件？</w:t>
      </w:r>
    </w:p>
    <w:p w14:paraId="29F21C6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3. 有没有相似条件但结果不同的情况？</w:t>
      </w:r>
    </w:p>
    <w:p w14:paraId="22BAE04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`);</w:t>
      </w:r>
    </w:p>
    <w:p w14:paraId="331E52E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2A84DED">
      <w:pPr>
        <w:spacing w:before="0" w:after="32"/>
      </w:pPr>
    </w:p>
    <w:p w14:paraId="1C685B1A">
      <w:pPr>
        <w:spacing w:before="0" w:after="65"/>
      </w:pPr>
    </w:p>
    <w:p w14:paraId="7D877A29">
      <w:pPr>
        <w:pStyle w:val="4"/>
        <w:spacing w:before="180" w:after="80"/>
      </w:pPr>
      <w:r>
        <w:rPr>
          <w:rFonts w:ascii="Arial" w:hAnsi="Arial" w:eastAsia="Arial" w:cs="Arial"/>
          <w:b/>
          <w:bCs/>
          <w:color w:val="2471A3"/>
          <w:sz w:val="22"/>
          <w:szCs w:val="22"/>
        </w:rPr>
        <w:t>方法三：置信度与不确定性量化</w:t>
      </w:r>
    </w:p>
    <w:p w14:paraId="6091656E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置信度标注</w:t>
      </w:r>
    </w:p>
    <w:p w14:paraId="66834B2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要求 AI 明确标注置信度</w:t>
      </w:r>
    </w:p>
    <w:p w14:paraId="602C827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UNCERTAINTY_PROMPT = `</w:t>
      </w:r>
    </w:p>
    <w:p w14:paraId="56DCD3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回答以下问题，并在答案末尾用 JSON 标注置信度：</w:t>
      </w:r>
    </w:p>
    <w:p w14:paraId="099DE0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&lt;!--confidence:{"level":"high/medium/low",</w:t>
      </w:r>
    </w:p>
    <w:p w14:paraId="10C07C3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   "reason":"简短说明不确定的原因（如果有）",</w:t>
      </w:r>
    </w:p>
    <w:p w14:paraId="5052996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     "suggest_verify":"是否建议用户独立验证"}--&gt;</w:t>
      </w:r>
    </w:p>
    <w:p w14:paraId="6EB9A92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`;</w:t>
      </w:r>
    </w:p>
    <w:p w14:paraId="456A383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C25EAF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前端根据置信度显示不同提示：</w:t>
      </w:r>
    </w:p>
    <w:p w14:paraId="1CFB9E6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high → 正常显示</w:t>
      </w:r>
    </w:p>
    <w:p w14:paraId="2D9B10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medium → 加「建议核实」提示</w:t>
      </w:r>
    </w:p>
    <w:p w14:paraId="2982C13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low → 加「AI 不确定，请务必验证」+ 参考来源链接</w:t>
      </w:r>
    </w:p>
    <w:p w14:paraId="6F2E0CE6">
      <w:pPr>
        <w:spacing w:before="0" w:after="32"/>
      </w:pPr>
    </w:p>
    <w:p w14:paraId="4EF60C6B">
      <w:pPr>
        <w:spacing w:before="0" w:after="65"/>
      </w:pPr>
    </w:p>
    <w:p w14:paraId="0A74D00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4.3 XAI 的工程实践原则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11"/>
        <w:gridCol w:w="3322"/>
        <w:gridCol w:w="3067"/>
      </w:tblGrid>
      <w:tr w14:paraId="786EC9C7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41FD31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原则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36E7E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说明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9311B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实现方式</w:t>
            </w:r>
          </w:p>
        </w:tc>
      </w:tr>
      <w:tr w14:paraId="6D32410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EBD6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解释要有用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4CA76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解释必须帮助用户做决定或采取行动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39D6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「因为你的收入低于要求」比「模型分数 0.42」更有用</w:t>
            </w:r>
          </w:p>
        </w:tc>
      </w:tr>
      <w:tr w14:paraId="35980EF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65D6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解释要简洁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8FA8A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大多数用户不想看复杂的解释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AB71A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用自然语言，不用技术术语，3-5 句话足够</w:t>
            </w:r>
          </w:p>
        </w:tc>
      </w:tr>
      <w:tr w14:paraId="525FF26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9E65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解释要准确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75A0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不能给用户错误的解释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1195F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宁可说「无法解释」也不要给误导性解释</w:t>
            </w:r>
          </w:p>
        </w:tc>
      </w:tr>
      <w:tr w14:paraId="24BAEF2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B3E0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解释要一致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0DD3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相似的情况给相似的解释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3076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用固定的解释框架，不要每次都不同</w:t>
            </w:r>
          </w:p>
        </w:tc>
      </w:tr>
    </w:tbl>
    <w:p w14:paraId="2DDA9E6F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33EA4787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4ACE55C5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XAI 的核心价值</w:t>
            </w:r>
          </w:p>
          <w:p w14:paraId="6A5B1A74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XAI 不只是「让 AI 解释自己」，更是建立人机信任的基础设施。</w:t>
            </w:r>
          </w:p>
          <w:p w14:paraId="2ABBC02A">
            <w:pPr>
              <w:spacing w:before="32" w:after="0"/>
            </w:pPr>
          </w:p>
          <w:p w14:paraId="72979CBE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当用户理解 AI 为什么这样决策时：</w:t>
            </w:r>
          </w:p>
          <w:p w14:paraId="162A1AC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他们更愿意信任和采纳 AI 的建议</w:t>
            </w:r>
          </w:p>
          <w:p w14:paraId="5998096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他们能发现 AI 的错误并提供反馈</w:t>
            </w:r>
          </w:p>
          <w:p w14:paraId="53319059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监管机构有足够的透明度来审查</w:t>
            </w:r>
          </w:p>
          <w:p w14:paraId="6E53B6CF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团队能系统性地改进 AI 的判断</w:t>
            </w:r>
          </w:p>
        </w:tc>
      </w:tr>
    </w:tbl>
    <w:p w14:paraId="6A0F4B3B">
      <w:pPr>
        <w:spacing w:before="0" w:after="65"/>
      </w:pPr>
    </w:p>
    <w:p w14:paraId="33D8E7D7">
      <w:pPr>
        <w:spacing w:before="300" w:after="120"/>
        <w:jc w:val="center"/>
      </w:pPr>
      <w:bookmarkStart w:id="0" w:name="_GoBack"/>
      <w:bookmarkEnd w:id="0"/>
      <w:r>
        <w:rPr>
          <w:rFonts w:ascii="Arial" w:hAnsi="Arial" w:eastAsia="Arial" w:cs="Arial"/>
          <w:color w:val="AAAAAA"/>
          <w:sz w:val="16"/>
          <w:szCs w:val="16"/>
        </w:rPr>
        <w:t>━━━ 阶段四扩展手册完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C4B47"/>
    <w:multiLevelType w:val="multilevel"/>
    <w:tmpl w:val="D57C4B47"/>
    <w:lvl w:ilvl="0" w:tentative="0">
      <w:start w:val="1"/>
      <w:numFmt w:val="bullet"/>
      <w:lvlText w:val="•"/>
      <w:lvlJc w:val="left"/>
      <w:pPr>
        <w:ind w:left="680" w:hanging="340"/>
      </w:pPr>
    </w:lvl>
    <w:lvl w:ilvl="1" w:tentative="0">
      <w:start w:val="1"/>
      <w:numFmt w:val="bullet"/>
      <w:lvlText w:val="◦"/>
      <w:lvlJc w:val="left"/>
      <w:pPr>
        <w:ind w:left="1020" w:hanging="3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FFFFF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C41D18CDFB52329A0382276AED36A1F2_42</vt:lpwstr>
  </property>
</Properties>
</file>